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7444D" w:rsidRPr="00B7679F" w:rsidRDefault="00B7679F">
      <w:pPr>
        <w:pStyle w:val="Balk2"/>
        <w:rPr>
          <w:rFonts w:ascii="Times New Roman" w:hAnsi="Times New Roman" w:cs="Times New Roman"/>
          <w:color w:val="000000" w:themeColor="text1"/>
        </w:rPr>
      </w:pPr>
      <w:r w:rsidRPr="00B7679F">
        <w:rPr>
          <w:rFonts w:ascii="Times New Roman" w:hAnsi="Times New Roman" w:cs="Times New Roman"/>
          <w:color w:val="000000" w:themeColor="text1"/>
        </w:rPr>
        <w:t>This checklist is used in procedures requiring stereotaxic surgery.</w:t>
      </w:r>
    </w:p>
    <w:tbl>
      <w:tblPr>
        <w:tblStyle w:val="TabloKlavuzu"/>
        <w:tblpPr w:leftFromText="141" w:rightFromText="141" w:vertAnchor="text" w:horzAnchor="margin" w:tblpXSpec="center" w:tblpY="-615"/>
        <w:tblW w:w="9634" w:type="dxa"/>
        <w:tblLook w:val="04A0" w:firstRow="1" w:lastRow="0" w:firstColumn="1" w:lastColumn="0" w:noHBand="0" w:noVBand="1"/>
      </w:tblPr>
      <w:tblGrid>
        <w:gridCol w:w="9634"/>
      </w:tblGrid>
      <w:tr w:rsidR="00B7679F" w:rsidTr="00B7679F">
        <w:trPr>
          <w:trHeight w:val="696"/>
        </w:trPr>
        <w:tc>
          <w:tcPr>
            <w:tcW w:w="9634" w:type="dxa"/>
          </w:tcPr>
          <w:p w:rsidR="00B7679F" w:rsidRPr="002A11E5" w:rsidRDefault="00B7679F" w:rsidP="00E73C39">
            <w:pPr>
              <w:rPr>
                <w:rFonts w:ascii="Times New Roman" w:eastAsia="Times New Roman" w:hAnsi="Times New Roman" w:cs="Times New Roman"/>
                <w:lang w:eastAsia="tr-TR"/>
              </w:rPr>
            </w:pPr>
            <w:r w:rsidRPr="002A11E5">
              <w:rPr>
                <w:rFonts w:ascii="Times New Roman" w:eastAsia="Times New Roman" w:hAnsi="Times New Roman" w:cs="Times New Roman"/>
                <w:lang w:eastAsia="tr-TR"/>
              </w:rPr>
              <w:t xml:space="preserve">ACIBADEM </w:t>
            </w:r>
            <w:r>
              <w:rPr>
                <w:rFonts w:ascii="Times New Roman" w:eastAsia="Times New Roman" w:hAnsi="Times New Roman" w:cs="Times New Roman"/>
                <w:lang w:eastAsia="tr-TR"/>
              </w:rPr>
              <w:t>UNIVERSITY FACULTY OF MEDICINE, DEPARTMENT OF MEDICAL PHARMACOLOGY</w:t>
            </w:r>
            <w:r w:rsidRPr="002A11E5">
              <w:rPr>
                <w:rFonts w:ascii="Times New Roman" w:eastAsia="Times New Roman" w:hAnsi="Times New Roman" w:cs="Times New Roman"/>
                <w:lang w:eastAsia="tr-TR"/>
              </w:rPr>
              <w:t>, İSTANBUL</w:t>
            </w:r>
          </w:p>
        </w:tc>
      </w:tr>
      <w:tr w:rsidR="00B7679F" w:rsidTr="00B7679F">
        <w:trPr>
          <w:trHeight w:val="463"/>
        </w:trPr>
        <w:tc>
          <w:tcPr>
            <w:tcW w:w="9634" w:type="dxa"/>
          </w:tcPr>
          <w:p w:rsidR="00B7679F" w:rsidRPr="002A11E5" w:rsidRDefault="00B7679F" w:rsidP="00E73C39">
            <w:pPr>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Stereotaxic Surgery and Viral Vector Injection </w:t>
            </w:r>
            <w:r w:rsidRPr="002A11E5">
              <w:rPr>
                <w:rFonts w:ascii="Times New Roman" w:eastAsia="Times New Roman" w:hAnsi="Times New Roman" w:cs="Times New Roman"/>
                <w:lang w:eastAsia="tr-TR"/>
              </w:rPr>
              <w:t>Checklist</w:t>
            </w:r>
          </w:p>
        </w:tc>
      </w:tr>
    </w:tbl>
    <w:p w:rsidR="00B7679F" w:rsidRDefault="00B7679F"/>
    <w:p w:rsidR="00D7444D" w:rsidRDefault="00B81945">
      <w:r w:rsidRPr="0040171E">
        <w:rPr>
          <w:b/>
          <w:bCs/>
        </w:rPr>
        <w:t>PURPOSE</w:t>
      </w:r>
      <w:r>
        <w:br/>
        <w:t>This Standard Operating Procedure (SOP) describes the standardized methodology for stereotaxic surgery, intracranial viral vector injection, EEG electrode implantation, cranial fixation, and post-operative care in rats.</w:t>
      </w:r>
    </w:p>
    <w:p w:rsidR="0040171E" w:rsidRPr="0040171E" w:rsidRDefault="0040171E" w:rsidP="0040171E">
      <w:pPr>
        <w:rPr>
          <w:b/>
          <w:bCs/>
        </w:rPr>
      </w:pPr>
      <w:r w:rsidRPr="0040171E">
        <w:rPr>
          <w:b/>
          <w:bCs/>
        </w:rPr>
        <w:t>A) Preparation of the surgical environment:</w:t>
      </w:r>
    </w:p>
    <w:p w:rsidR="0040171E" w:rsidRPr="0040171E" w:rsidRDefault="0040171E" w:rsidP="0040171E">
      <w:pPr>
        <w:jc w:val="both"/>
      </w:pPr>
      <w:r w:rsidRPr="0040171E">
        <w:t xml:space="preserve">1. The blue surgical drape is spread over the table and the necessary surgical materials are prepared (stereotactic surgical instrument, rat apparatus for isoflurane anesthesia, scalpel, bulldog clamp, </w:t>
      </w:r>
      <w:proofErr w:type="spellStart"/>
      <w:r w:rsidRPr="0040171E">
        <w:t>icv</w:t>
      </w:r>
      <w:proofErr w:type="spellEnd"/>
      <w:r w:rsidRPr="0040171E">
        <w:t xml:space="preserve"> cannula, Hamilton syringe (1μL/5μL/25μL), stereotactic digital displays, stereotactic probe, automatic drill, surgical scissors, cotton swabs, oxygenated water, cold light source, empty beaker, gauze, surgical microscope, surgical suture thread) are brought into the environment. </w:t>
      </w:r>
    </w:p>
    <w:p w:rsidR="0040171E" w:rsidRPr="0040171E" w:rsidRDefault="0040171E" w:rsidP="0040171E">
      <w:pPr>
        <w:jc w:val="both"/>
      </w:pPr>
      <w:r w:rsidRPr="0040171E">
        <w:t>2. Prior to surgery, the pAAV8-hSyn-hM4D(</w:t>
      </w:r>
      <w:r w:rsidR="00826EA0">
        <w:t>G</w:t>
      </w:r>
      <w:r w:rsidRPr="0040171E">
        <w:t>i)-</w:t>
      </w:r>
      <w:proofErr w:type="spellStart"/>
      <w:r w:rsidRPr="0040171E">
        <w:t>mCherry</w:t>
      </w:r>
      <w:proofErr w:type="spellEnd"/>
      <w:r w:rsidR="00437BFD">
        <w:t xml:space="preserve"> </w:t>
      </w:r>
      <w:r w:rsidR="00826EA0">
        <w:t xml:space="preserve">or </w:t>
      </w:r>
      <w:r w:rsidR="00826EA0" w:rsidRPr="0040171E">
        <w:t>pAAV8-hSyn-hM</w:t>
      </w:r>
      <w:r w:rsidR="00826EA0">
        <w:t>3</w:t>
      </w:r>
      <w:r w:rsidR="00826EA0" w:rsidRPr="0040171E">
        <w:t>D(</w:t>
      </w:r>
      <w:proofErr w:type="spellStart"/>
      <w:r w:rsidR="00826EA0">
        <w:t>Gq</w:t>
      </w:r>
      <w:proofErr w:type="spellEnd"/>
      <w:r w:rsidR="00826EA0" w:rsidRPr="0040171E">
        <w:t>)-</w:t>
      </w:r>
      <w:proofErr w:type="spellStart"/>
      <w:r w:rsidR="00826EA0" w:rsidRPr="0040171E">
        <w:t>mCherry</w:t>
      </w:r>
      <w:proofErr w:type="spellEnd"/>
      <w:r w:rsidR="00826EA0" w:rsidRPr="0040171E">
        <w:t xml:space="preserve"> </w:t>
      </w:r>
      <w:r w:rsidRPr="0040171E">
        <w:t>virus aliquot stored in the -80°C freezer is retrieved and brought to the surgical site in a container filled with ice, with the lid closed</w:t>
      </w:r>
      <w:r w:rsidR="00D8747F">
        <w:t xml:space="preserve"> </w:t>
      </w:r>
      <w:r w:rsidRPr="0040171E">
        <w:t xml:space="preserve">for injection. </w:t>
      </w:r>
    </w:p>
    <w:p w:rsidR="0040171E" w:rsidRPr="0040171E" w:rsidRDefault="0040171E" w:rsidP="0040171E">
      <w:pPr>
        <w:rPr>
          <w:b/>
          <w:bCs/>
        </w:rPr>
      </w:pPr>
      <w:r w:rsidRPr="0040171E">
        <w:rPr>
          <w:b/>
          <w:bCs/>
        </w:rPr>
        <w:t>B) Stereotaxic virus injection:</w:t>
      </w:r>
    </w:p>
    <w:p w:rsidR="0040171E" w:rsidRPr="0040171E" w:rsidRDefault="0040171E" w:rsidP="0040171E">
      <w:r w:rsidRPr="0040171E">
        <w:t>1. The animal to be operated on is weighed.</w:t>
      </w:r>
    </w:p>
    <w:p w:rsidR="0040171E" w:rsidRPr="0040171E" w:rsidRDefault="0040171E" w:rsidP="0040171E">
      <w:r w:rsidRPr="0040171E">
        <w:t>2. Induction and maintenance of anesthesia are performed with isoflurane. After induction, the animal is placed directly into the stereotaxic device and its head is immobilized. At this stage, ear bars are placed into the ear canals and clamped, and the incisors are then passed through the incisor bar.</w:t>
      </w:r>
    </w:p>
    <w:p w:rsidR="0040171E" w:rsidRPr="0040171E" w:rsidRDefault="0040171E" w:rsidP="0040171E">
      <w:r w:rsidRPr="0040171E">
        <w:t>3. Paw and corneal reflexes are checked for the effect of anesthesia.</w:t>
      </w:r>
    </w:p>
    <w:p w:rsidR="0040171E" w:rsidRPr="0040171E" w:rsidRDefault="0040171E" w:rsidP="0040171E">
      <w:r w:rsidRPr="0040171E">
        <w:t>4. The animal's head is shaved from the parietal region to the occipital region using a shaving machine.</w:t>
      </w:r>
    </w:p>
    <w:p w:rsidR="0040171E" w:rsidRPr="0040171E" w:rsidRDefault="0040171E" w:rsidP="0040171E">
      <w:r w:rsidRPr="0040171E">
        <w:t>5. The shaved area is first cleaned with 70% alcohol and then with betadine.</w:t>
      </w:r>
    </w:p>
    <w:p w:rsidR="0040171E" w:rsidRPr="0040171E" w:rsidRDefault="0040171E" w:rsidP="0040171E">
      <w:r w:rsidRPr="0040171E">
        <w:t>6. A 2 cm longitudinal incision is made with a scalpel between the two eyes and between the two ears, exposing the bregma on the scalp. The periosteum is scraped with a scalpel, exposing the skull to cover the target areas.</w:t>
      </w:r>
    </w:p>
    <w:p w:rsidR="0040171E" w:rsidRPr="0040171E" w:rsidRDefault="0040171E" w:rsidP="0040171E">
      <w:r w:rsidRPr="0040171E">
        <w:t>7. The scalp is secured away from the surgical field with bulldogs.</w:t>
      </w:r>
    </w:p>
    <w:p w:rsidR="0040171E" w:rsidRPr="0040171E" w:rsidRDefault="0040171E" w:rsidP="0040171E">
      <w:r w:rsidRPr="0040171E">
        <w:lastRenderedPageBreak/>
        <w:t>8. Excess blood in the surgical field is cleaned with a sponge; oxygenated water is used if necessary.</w:t>
      </w:r>
    </w:p>
    <w:p w:rsidR="0040171E" w:rsidRDefault="0040171E" w:rsidP="0040171E">
      <w:r w:rsidRPr="0040171E">
        <w:t>9. The stereotaxic device's probe is inserted into the cannula, and a cannula suitable for the target area (preferably an ICV cannula) is placed and fixed in a straight and upright position.</w:t>
      </w:r>
    </w:p>
    <w:p w:rsidR="0040171E" w:rsidRDefault="0040171E" w:rsidP="0040171E">
      <w:r>
        <w:t>10. The surgical site is cleaned of blood and, if necessary, bleeding is stopped using a cautery.</w:t>
      </w:r>
    </w:p>
    <w:p w:rsidR="0040171E" w:rsidRDefault="0040171E" w:rsidP="0040171E">
      <w:r>
        <w:t xml:space="preserve">11. Under the surgical microscope, sutures are marked with methylene blue, an ear stick is passed over the sutures, and the bregma is identified. A maximum of 0.1 mL of methylene blue should be drawn into the insulin syringe. It is checked whether the bregma and lambda are in the same plane parallel to the ground. </w:t>
      </w:r>
    </w:p>
    <w:p w:rsidR="00437BFD" w:rsidRDefault="0040171E" w:rsidP="0040171E">
      <w:r>
        <w:t>12. Using the bregma as a reference point, the coordinates of the target area for virus injection are determined and marked under a surgical microscope</w:t>
      </w:r>
    </w:p>
    <w:p w:rsidR="0040171E" w:rsidRDefault="0040171E" w:rsidP="0040171E">
      <w:r>
        <w:t>13. After determining the injection site, a hole is drilled in the skull using an electric drill to access the targeted brain region. The ventral coordinates for the planned injection site are determined by targeting the dura. After drilling the holes, the skull is washed with oxygenated water to remove bone fragments and induce vasoconstriction.</w:t>
      </w:r>
    </w:p>
    <w:p w:rsidR="0040171E" w:rsidRDefault="0040171E" w:rsidP="0040171E">
      <w:r>
        <w:t>14. After determining the injection site, proceed to prepare the Hamilton for injection. At this stage, select the appropriate Hamilton for injection. Before injection, wash the Hamilton with double-distilled water and draw a small amount of double-distilled water into it. Subsequently, the Hamilton syringe is fixed vertically to the stereotaxic injection apparatus (the apparatus must be fixed; if it is not fixed, it must be clamped with an Allen key) and placed in the “second hole” of the Hamilton syringe. If the bregma is to be recalculated, care is taken not to go outside the axis of the stereotaxic device.</w:t>
      </w:r>
    </w:p>
    <w:p w:rsidR="0040171E" w:rsidRDefault="0040171E" w:rsidP="0040171E">
      <w:r>
        <w:t xml:space="preserve">15. At this point, it is important to wear a mask (N95); the mask should be worn before coming into contact with the virus. Based on preliminary studies, it was decided that the </w:t>
      </w:r>
      <w:proofErr w:type="spellStart"/>
      <w:r w:rsidR="00D8747F">
        <w:t>eppendorf</w:t>
      </w:r>
      <w:proofErr w:type="spellEnd"/>
      <w:r>
        <w:t xml:space="preserve"> containing the virus should not be vortexed before virus injection and should be aspirated directly from the </w:t>
      </w:r>
      <w:proofErr w:type="spellStart"/>
      <w:r w:rsidR="00D8747F">
        <w:t>eppendorf</w:t>
      </w:r>
      <w:proofErr w:type="spellEnd"/>
      <w:r w:rsidR="00D8747F">
        <w:t>.</w:t>
      </w:r>
    </w:p>
    <w:p w:rsidR="0040171E" w:rsidRDefault="0040171E" w:rsidP="0040171E">
      <w:r>
        <w:t xml:space="preserve">15.a For injection, while the Hamilton is upright, 50 </w:t>
      </w:r>
      <w:proofErr w:type="spellStart"/>
      <w:r>
        <w:t>nL</w:t>
      </w:r>
      <w:proofErr w:type="spellEnd"/>
      <w:r>
        <w:t xml:space="preserve"> of air + 500 </w:t>
      </w:r>
      <w:proofErr w:type="spellStart"/>
      <w:r>
        <w:t>nL</w:t>
      </w:r>
      <w:proofErr w:type="spellEnd"/>
      <w:r>
        <w:t xml:space="preserve"> of virus (at a speed of 270 </w:t>
      </w:r>
      <w:proofErr w:type="spellStart"/>
      <w:r>
        <w:t>nL</w:t>
      </w:r>
      <w:proofErr w:type="spellEnd"/>
      <w:r>
        <w:t xml:space="preserve">/min, the “upper speed limit”) to prepare the Hamilton for injection. At this point, it is important to ensure that the tip of the syringe drawing the virus is blunt and that there is sufficient virus volume in the </w:t>
      </w:r>
      <w:proofErr w:type="spellStart"/>
      <w:r>
        <w:t>eppendorf</w:t>
      </w:r>
      <w:proofErr w:type="spellEnd"/>
      <w:r>
        <w:t xml:space="preserve"> tube to ensure adequate virus withdrawal. To ensure that the full virus volume is withdrawn, the Hamilton syringe is carefully monitored visually during withdrawal (checking whether the air and the black syringe needle rise).</w:t>
      </w:r>
    </w:p>
    <w:p w:rsidR="0040171E" w:rsidRDefault="0040171E" w:rsidP="0040171E">
      <w:r>
        <w:t xml:space="preserve">16. After the Hamilton aspiration process is complete, injection preparation for the right VB is initiated: </w:t>
      </w:r>
    </w:p>
    <w:p w:rsidR="0040171E" w:rsidRDefault="0040171E" w:rsidP="0040171E">
      <w:r>
        <w:t>16.</w:t>
      </w:r>
      <w:proofErr w:type="spellStart"/>
      <w:r>
        <w:t>a</w:t>
      </w:r>
      <w:proofErr w:type="spellEnd"/>
      <w:r>
        <w:t xml:space="preserve"> At this stage, the stereotaxic injector is first set to a speed of 100nL/min on the digital display and adjusted to perform an initial 50nL air injection, which takes 30 seconds. Then, </w:t>
      </w:r>
      <w:r>
        <w:lastRenderedPageBreak/>
        <w:t xml:space="preserve">a 500nL virus injection is performed, which takes 5 minutes. During these stages, the Hamilton must be monitored </w:t>
      </w:r>
      <w:proofErr w:type="gramStart"/>
      <w:r>
        <w:t>visually</w:t>
      </w:r>
      <w:proofErr w:type="gramEnd"/>
      <w:r>
        <w:t xml:space="preserve"> and the injection must be observed. After the injection is completed, wait 5 minutes with the Hamilton still in place and then exit the area.</w:t>
      </w:r>
    </w:p>
    <w:p w:rsidR="002228B6" w:rsidRDefault="002228B6" w:rsidP="002228B6">
      <w:r>
        <w:t xml:space="preserve">After the right VB injection is completed, approximately 400 </w:t>
      </w:r>
      <w:proofErr w:type="spellStart"/>
      <w:r>
        <w:t>nL</w:t>
      </w:r>
      <w:proofErr w:type="spellEnd"/>
      <w:r>
        <w:t xml:space="preserve"> of ddH2O is drawn into the Hamilton syringe, then infused and washed out (previously, 600 </w:t>
      </w:r>
      <w:proofErr w:type="spellStart"/>
      <w:r>
        <w:t>nL</w:t>
      </w:r>
      <w:proofErr w:type="spellEnd"/>
      <w:r>
        <w:t xml:space="preserve"> of virus had been drawn at a rate of 270 </w:t>
      </w:r>
      <w:proofErr w:type="spellStart"/>
      <w:r>
        <w:t>nL</w:t>
      </w:r>
      <w:proofErr w:type="spellEnd"/>
      <w:r>
        <w:t xml:space="preserve">/min). The same procedures are repeated for injection into the left VB region. </w:t>
      </w:r>
    </w:p>
    <w:p w:rsidR="00826EA0" w:rsidRDefault="002228B6" w:rsidP="002228B6">
      <w:r>
        <w:t xml:space="preserve">19. After </w:t>
      </w:r>
      <w:r w:rsidR="00826EA0">
        <w:t>viral injection</w:t>
      </w:r>
      <w:r>
        <w:t>, the Hamilton syringe is cleaned first with 25% diluted Hamilton cleaning solution, then with double-distilled water. All other surgical materials are disinfected with 10% sodium hypochlorite and then washed with soap and water. They are then placed in an autoclave.</w:t>
      </w:r>
    </w:p>
    <w:p w:rsidR="002228B6" w:rsidRDefault="00826EA0" w:rsidP="002228B6">
      <w:r>
        <w:t>20</w:t>
      </w:r>
      <w:r w:rsidR="002228B6">
        <w:t>. Using the bregma as a reference point, the target coordinates are determined and marked.</w:t>
      </w:r>
    </w:p>
    <w:p w:rsidR="00826EA0" w:rsidRDefault="00826EA0" w:rsidP="002228B6">
      <w:r>
        <w:t>21</w:t>
      </w:r>
      <w:r w:rsidR="002228B6">
        <w:t>. The designated areas for the EEG recording electrodes (4 electrodes) and the fixation screw are drilled using a hand drill and positioned.</w:t>
      </w:r>
    </w:p>
    <w:p w:rsidR="002228B6" w:rsidRDefault="00B81945" w:rsidP="002228B6">
      <w:r w:rsidRPr="00B81945">
        <w:rPr>
          <w:b/>
          <w:bCs/>
        </w:rPr>
        <w:t>D. CRANIAL FIXATION</w:t>
      </w:r>
      <w:r>
        <w:br/>
      </w:r>
      <w:r w:rsidR="002228B6">
        <w:t>1. Cold acrylic is poured into the area to secure the placed EEG recording electrodes and the fixation screw.</w:t>
      </w:r>
    </w:p>
    <w:p w:rsidR="002228B6" w:rsidRDefault="002228B6" w:rsidP="002228B6">
      <w:r>
        <w:t>2. After the initial fixation stage, the EEG recording electrodes are soldered to the connector using phosphoric acid, then the second fixation stage is performed, and all materials are fixed to the skull using cold acrylic.</w:t>
      </w:r>
    </w:p>
    <w:p w:rsidR="00D7444D" w:rsidRDefault="002228B6" w:rsidP="002228B6">
      <w:r>
        <w:t>3. If necessary, the surgical site is closed using surgical sutures.</w:t>
      </w:r>
    </w:p>
    <w:p w:rsidR="002228B6" w:rsidRDefault="00B81945" w:rsidP="002228B6">
      <w:r w:rsidRPr="00B81945">
        <w:rPr>
          <w:b/>
          <w:bCs/>
        </w:rPr>
        <w:t>E. POST-OPERATIVE CARE</w:t>
      </w:r>
      <w:r>
        <w:br/>
      </w:r>
      <w:r w:rsidR="002228B6">
        <w:t>1. The animal is given a 0.2 cc intramuscular injection of paracetamol and a 2 cc subcutaneous injection of SF post-op.</w:t>
      </w:r>
    </w:p>
    <w:p w:rsidR="002228B6" w:rsidRDefault="002228B6" w:rsidP="002228B6">
      <w:r>
        <w:t>2. Once the acrylic has dried, fresh food is placed next to it and the animal is returned to its cage.</w:t>
      </w:r>
    </w:p>
    <w:p w:rsidR="00D7444D" w:rsidRDefault="002228B6" w:rsidP="002228B6">
      <w:r>
        <w:t xml:space="preserve">3. </w:t>
      </w:r>
      <w:proofErr w:type="spellStart"/>
      <w:r>
        <w:t>Par</w:t>
      </w:r>
      <w:r w:rsidR="00D8747F">
        <w:t>asetamol</w:t>
      </w:r>
      <w:proofErr w:type="spellEnd"/>
      <w:r>
        <w:t xml:space="preserve"> and SF injections are continued for 3 days post-surgery, depending on weight loss.</w:t>
      </w:r>
      <w:r w:rsidR="00B81945">
        <w:br/>
      </w:r>
    </w:p>
    <w:sectPr w:rsidR="00D7444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228B6"/>
    <w:rsid w:val="0029639D"/>
    <w:rsid w:val="00326F90"/>
    <w:rsid w:val="0040171E"/>
    <w:rsid w:val="00437BFD"/>
    <w:rsid w:val="00826EA0"/>
    <w:rsid w:val="00AA1D8D"/>
    <w:rsid w:val="00B23D84"/>
    <w:rsid w:val="00B47730"/>
    <w:rsid w:val="00B7679F"/>
    <w:rsid w:val="00B81945"/>
    <w:rsid w:val="00CB0664"/>
    <w:rsid w:val="00D7444D"/>
    <w:rsid w:val="00D8747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7DF6F6"/>
  <w14:defaultImageDpi w14:val="300"/>
  <w15:docId w15:val="{25C08BD1-7AC3-8E47-8536-D1555083F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238356">
      <w:bodyDiv w:val="1"/>
      <w:marLeft w:val="0"/>
      <w:marRight w:val="0"/>
      <w:marTop w:val="0"/>
      <w:marBottom w:val="0"/>
      <w:divBdr>
        <w:top w:val="none" w:sz="0" w:space="0" w:color="auto"/>
        <w:left w:val="none" w:sz="0" w:space="0" w:color="auto"/>
        <w:bottom w:val="none" w:sz="0" w:space="0" w:color="auto"/>
        <w:right w:val="none" w:sz="0" w:space="0" w:color="auto"/>
      </w:divBdr>
    </w:div>
    <w:div w:id="8617474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1040</Words>
  <Characters>5928</Characters>
  <Application>Microsoft Office Word</Application>
  <DocSecurity>0</DocSecurity>
  <Lines>49</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Merve Çavuş</cp:lastModifiedBy>
  <cp:revision>6</cp:revision>
  <dcterms:created xsi:type="dcterms:W3CDTF">2013-12-23T23:15:00Z</dcterms:created>
  <dcterms:modified xsi:type="dcterms:W3CDTF">2025-12-26T11:42:00Z</dcterms:modified>
  <cp:category/>
</cp:coreProperties>
</file>